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0" w:type="pct"/>
        <w:tblLayout w:type="fixed"/>
        <w:tblLook w:val="04A0" w:firstRow="1" w:lastRow="0" w:firstColumn="1" w:lastColumn="0" w:noHBand="0" w:noVBand="1"/>
      </w:tblPr>
      <w:tblGrid>
        <w:gridCol w:w="242"/>
        <w:gridCol w:w="218"/>
        <w:gridCol w:w="8265"/>
        <w:gridCol w:w="321"/>
        <w:gridCol w:w="362"/>
        <w:gridCol w:w="193"/>
        <w:gridCol w:w="492"/>
        <w:gridCol w:w="62"/>
        <w:gridCol w:w="527"/>
        <w:gridCol w:w="21"/>
      </w:tblGrid>
      <w:tr w:rsidR="00AA1050" w:rsidRPr="00DA47A7" w:rsidTr="00833258">
        <w:trPr>
          <w:trHeight w:val="676"/>
        </w:trPr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8C3066" w:rsidP="00320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 xml:space="preserve">Year </w:t>
            </w:r>
            <w:r w:rsidR="00A621F6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>5</w:t>
            </w:r>
            <w:r w:rsidR="00DA47A7" w:rsidRPr="00DA47A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DA47A7" w:rsidRPr="00DA4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Maths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2672A3" w:rsidRDefault="00AA1050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proofErr w:type="spellStart"/>
            <w:r w:rsidRPr="002672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Aut</w:t>
            </w:r>
            <w:proofErr w:type="spellEnd"/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2672A3" w:rsidRDefault="00AA1050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proofErr w:type="spellStart"/>
            <w:r w:rsidRPr="002672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Spr</w:t>
            </w:r>
            <w:proofErr w:type="spellEnd"/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2672A3" w:rsidRDefault="00AA1050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2672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Sum</w:t>
            </w:r>
          </w:p>
        </w:tc>
      </w:tr>
      <w:tr w:rsidR="00AA1050" w:rsidRPr="00DA47A7" w:rsidTr="00833258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count forwards and backwards in steps of power  10 for any given number up to 1,000,000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833258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AA1050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AA1050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AA1050">
              <w:rPr>
                <w:rFonts w:ascii="Arial" w:hAnsi="Arial" w:cs="Arial"/>
                <w:color w:val="000000"/>
                <w:sz w:val="14"/>
                <w:szCs w:val="16"/>
              </w:rPr>
              <w:t>I can solve addition and subtraction multi-step problems in contexts, deciding which operations and methods to use and why; solve problems involving 3 decimal places and problems which require knowledge of percentages and decimal equivalents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833258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multiply and divide whole numbers and those involving decimals by 10, 100 and 1000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solve problems involving multiplication and division where large numbers are used by decomposing them into factors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 xml:space="preserve">I recognise the percent symbol (%) and understand percent relates to number of parts per hundred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 xml:space="preserve">I round decimals with 2 decimal place to the nearest whole number and to 1 decimal place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round any number to 1,000,000 to the nearest 10, 100, 10,000 and 100,000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multiply and divide numbers mentally drawing upon known facts up to 12 x12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multiply numbers up to 4-digit by a 1 or 2-digit number using formal written methods, including long multiplication for 2-digit numbers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 xml:space="preserve">I recognise mixed numbers and improper fractions and convert from one to the other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 xml:space="preserve">I write percentages as a fraction with denominator hundred, and as a decimal fraction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add and subtract whole numbers with more than 4 digits, including using formal written methods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87526F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90036" w:rsidRPr="0087526F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recognise and use square numbers and cube numbers and the notation for squared (²) and cubed (³)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divide numbers up to 4-digits by 1-digit numbers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read and write decimal numbers as fractions, for example, 0.47=47/100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 xml:space="preserve">I can compare and add fractions whose denominators are all multiples of the same number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know angles are measured in degrees: and can estimate and compare acute, obtuse and reflex angles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measure and calculate the perimeter of composite rectilinear shapes in centimetres and metres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draw given angles and measure them in degrees (°)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calculate and compare the area of squares and rectangles including using standard units (cm² and m²)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convert between different units of metric measures and estimate volume and capacity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solve comparison, sum and difference problems using information presented in a line graph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deal confidently with all numbers up to 1,000,000 and apply this knowledge to scientific, historical and geographical learning when it is appropriate to do so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 xml:space="preserve">I use my knowledge of measurement to create plans of areas around school, such as classroom, field, outside play area, </w:t>
            </w:r>
            <w:proofErr w:type="spellStart"/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etc</w:t>
            </w:r>
            <w:proofErr w:type="spellEnd"/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enjoy being challenged with reasoning problems and show a good level of resilience if I find the problem difficult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am particularly quick at recognising which operation may be required to deal with specific problems and can apply this operation with confidence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consistently use rounding as a strategy for quickly assessing what approximate answers ought to be before calculating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use a range of timetables to work out journey times on a fictional journey around the world, e.g., ‘How long would it take to reach the rainforests in the Amazon?’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cantSplit/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explain my workings to my peers and help them with their problems whilst at the same time deepen my own understanding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am confident when it comes to working across zero positive and negative numbers to work time, e.g., between BC and AD in history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 xml:space="preserve">I confidently collect my own data on a personal project and present information in formats of my choosing, e.g., charts, graphs and tables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DA47A7" w:rsidTr="002672A3">
        <w:trPr>
          <w:trHeight w:hRule="exact" w:val="45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036" w:rsidRPr="00DA47A7" w:rsidRDefault="00390036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90036" w:rsidRPr="00390036" w:rsidRDefault="00390036" w:rsidP="00AA1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90036">
              <w:rPr>
                <w:rFonts w:ascii="Arial" w:hAnsi="Arial" w:cs="Arial"/>
                <w:color w:val="000000"/>
                <w:sz w:val="20"/>
                <w:szCs w:val="16"/>
              </w:rPr>
              <w:t>I can return to most tasks after a break and will not need to be re-taught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6" w:rsidRPr="00AA1050" w:rsidRDefault="00390036" w:rsidP="00390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550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7" w:rsidRPr="00EA1217" w:rsidRDefault="00A621F6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RANGE!A1:B3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  <w:r w:rsidR="00EA1217" w:rsidRPr="00EA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Assessing Writing</w:t>
            </w:r>
            <w:bookmarkEnd w:id="0"/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2672A3" w:rsidRDefault="00AA1050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proofErr w:type="spellStart"/>
            <w:r w:rsidRPr="002672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Aut</w:t>
            </w:r>
            <w:proofErr w:type="spellEnd"/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2672A3" w:rsidRDefault="00AA1050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proofErr w:type="spellStart"/>
            <w:r w:rsidRPr="002672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Spr</w:t>
            </w:r>
            <w:proofErr w:type="spellEnd"/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2672A3" w:rsidRDefault="00AA1050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2672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Sum</w:t>
            </w: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 xml:space="preserve">I can form verbs with prefixes, for example, dis, de, </w:t>
            </w:r>
            <w:proofErr w:type="spellStart"/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mis</w:t>
            </w:r>
            <w:proofErr w:type="spellEnd"/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, over and re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spell some words with ‘silent’ letters, e.g. knight, psalm, solemn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use the first three or four letters of a word to check spelling, meaning or both of these in a dictionary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choose which shape of a letter to use when given choices and deciding, as part    of their personal style, whether or not to join specific letters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 xml:space="preserve">I can convert nouns or adjectives into verbs by adding a suffix, for example, ate, </w:t>
            </w:r>
            <w:proofErr w:type="spellStart"/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ise</w:t>
            </w:r>
            <w:proofErr w:type="spellEnd"/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ify</w:t>
            </w:r>
            <w:proofErr w:type="spellEnd"/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distinguish between homophones and other words which are often confused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a thesaurus efficiently and effectively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choose the writing implement that is best suited for a task e.g. quick notes, letters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understand the general rules for adding prefixes and suffixes above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spell identified commonly misspelt words from the Year 5 and 6 word list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a range of spelling strategies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know the audience for and the purpose of my writing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start sentences in different ways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establish viewpoint, as the writer, through commenting on characters or events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stylistic devices to create effects in writing, for example, simile, metaphor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organise my writing into paragraphs to show different information or events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relative clauses beginning with who, which, where, when, whose, that or with an implied (i.e. omitted) relative pronoun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the features and structures of text types taught so far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use sentence starters to highlight the main idea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show how grammar and vocabulary choices create impact on the reader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add well-chosen detail to interest the reader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cohesive devices (connecting adverbs and adverbials) to link ideas within paragraphs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commas to clarify meaning or avoid ambiguity in writing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grammatical features and vocabulary appropriate for the text types taught so far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develop characters through action and dialogue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choose vocabulary to engage and impact on the reader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summarise a paragraph or event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modal verbs or adverbs to indicate degrees of possibility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use brackets, dashes or commas to indicate parenthesis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assess the effectiveness of my own and my peers’ writing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ensure correct subject and verb agreement when using singular and plural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proof-read for spelling and punctuation errors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suggest changes to vocabulary, grammar and punctuation to enhance effects and clarify meaning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distinguish between the language of speech and writing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perform my own compositions, using appropriate intonation, volume and movement so that meaning is clear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can ensure the consistent and correct use of tense throughout a piece of writing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distinguish between the formal and informal spoken and written language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My writing is clearly structured and organised according to the text type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My paragraphs are clearly constructed and help to guide the reader through the text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adapt my sentence structures by re-ordering or embedding clauses and use different sentence lengths to create effects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 xml:space="preserve">During the editing process I will sometimes re-order sentences if I feel it impacts on the reader 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attempt to write hybrid texts to show an alternative point of view or to engage the reader with an unexpected approach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In narrative writing, my paragraphs support the plot structure and clearly signal changes in time, place and events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Detail is often added to my writing by expanding noun phrases and sentence starters with effective word choices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 sometimes use changes in time and place to guide the reader through my text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My use of standard English is consistent and level of formality appropriate for the register of the text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In all my writing I try to ensure that the closing of the text refers to the opening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A1050" w:rsidRPr="00EA1217" w:rsidTr="002672A3">
        <w:trPr>
          <w:trHeight w:val="285"/>
        </w:trPr>
        <w:tc>
          <w:tcPr>
            <w:tcW w:w="4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2672A3" w:rsidRDefault="00AA1050" w:rsidP="002672A3">
            <w:pPr>
              <w:spacing w:after="0"/>
              <w:rPr>
                <w:rFonts w:ascii="Calibri" w:hAnsi="Calibri"/>
                <w:color w:val="000000"/>
                <w:sz w:val="18"/>
                <w:szCs w:val="16"/>
              </w:rPr>
            </w:pPr>
            <w:r w:rsidRPr="002672A3">
              <w:rPr>
                <w:rFonts w:ascii="Calibri" w:hAnsi="Calibri"/>
                <w:color w:val="000000"/>
                <w:sz w:val="18"/>
                <w:szCs w:val="16"/>
              </w:rPr>
              <w:t>My editing process may involve taking out or simplifying rather than just adding</w:t>
            </w:r>
            <w:r w:rsidR="002672A3"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A1050" w:rsidRPr="00320BF0" w:rsidRDefault="00AA105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04162" w:rsidRPr="00A04162" w:rsidTr="002672A3">
        <w:trPr>
          <w:gridAfter w:val="1"/>
          <w:wAfter w:w="10" w:type="pct"/>
          <w:trHeight w:val="551"/>
        </w:trPr>
        <w:tc>
          <w:tcPr>
            <w:tcW w:w="407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621F6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RANGE!A1:F32"/>
            <w:r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>Year 5</w:t>
            </w:r>
            <w:r w:rsidR="00A04162" w:rsidRPr="00A04162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A04162" w:rsidRPr="00A041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Reading</w:t>
            </w:r>
            <w:bookmarkEnd w:id="1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A1050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Aut</w:t>
            </w:r>
            <w:proofErr w:type="spellEnd"/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A1050" w:rsidP="00AA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Spr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A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Sum</w:t>
            </w:r>
          </w:p>
        </w:tc>
      </w:tr>
      <w:tr w:rsidR="00833258" w:rsidRPr="00A04162" w:rsidTr="00833258">
        <w:trPr>
          <w:gridAfter w:val="1"/>
          <w:wAfter w:w="10" w:type="pct"/>
          <w:trHeight w:val="289"/>
        </w:trPr>
        <w:tc>
          <w:tcPr>
            <w:tcW w:w="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apply knowledge of root words, prefixes and suffixes to read aloud and to understand the meaning of unfamiliar words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51"/>
        </w:trPr>
        <w:tc>
          <w:tcPr>
            <w:tcW w:w="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re-read and read ahead to check for meaning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40"/>
        </w:trPr>
        <w:tc>
          <w:tcPr>
            <w:tcW w:w="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read further exception words, noting the unusual correspondences between spelling and sound, and where these occur in the word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358"/>
        </w:trPr>
        <w:tc>
          <w:tcPr>
            <w:tcW w:w="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attempt pronunciation of unfamiliar words drawing on prior knowledge of similar looking words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11"/>
        </w:trPr>
        <w:tc>
          <w:tcPr>
            <w:tcW w:w="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have become familiar with and talk about a wide range of books, including myths, legends and traditional stories and books from other cultures and traditions and know their features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00"/>
        </w:trPr>
        <w:tc>
          <w:tcPr>
            <w:tcW w:w="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learn poems by heart, for example, narrative verse, haiku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80"/>
        </w:trPr>
        <w:tc>
          <w:tcPr>
            <w:tcW w:w="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 xml:space="preserve">I use meaning-seeking strategies to explore the meaning of idiomatic and figurative language 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20"/>
        </w:trPr>
        <w:tc>
          <w:tcPr>
            <w:tcW w:w="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draw inferences such as inferring characters’ feelings, thoughts and motives from their actions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149"/>
        </w:trPr>
        <w:tc>
          <w:tcPr>
            <w:tcW w:w="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summarise the main ideas drawn from a text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52"/>
        </w:trPr>
        <w:tc>
          <w:tcPr>
            <w:tcW w:w="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express a personal point of view about a text, giving reasons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32"/>
        </w:trPr>
        <w:tc>
          <w:tcPr>
            <w:tcW w:w="21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read non-fiction texts and identify purpose and structures and grammatical features and evaluate how effective they are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364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prepare poems and plays to read aloud and to perform, showing understanding through intonation, tone, volume and action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128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identify and comment on writers’ use of language for effect, for example, precisely chosen adjectives, similes and personification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60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justify inferences with evidence from the text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37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identify the effect of the context on a text, for example, historical or other cultures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26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make connections between other similar texts, prior knowledge and experience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identify significant ideas, events and characters and discuss their significance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use meaning-seeking strategies to explore the meaning of words in context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identify grammatical features used by the writer- rhetorical questions, varies sentence lengths, varied sentence starters, empty words-to impact on the reader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make predictions from what has been read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identify how language, structure and presentation contribute to the meaning of a text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compare different versions of texts and talk about their differences and similarities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listen to and build on others’ ideas and opinions about a text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present a personal point of view based on what has been read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know the difference between fact and opinion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make notes from text marking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am confident enough to present an oral overview or summary of a text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listen to others’ personal point of view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use knowledge of structure of text type to find key information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am confident to present the author’s viewpoint of a text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explain a personal point of view and give reasons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31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use text marking to identify key information in a text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58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read a range of material and show that I can sustain the reading of longer and more demanding books and poetry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405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compare texts by the same writer, drawing out the similarities and differences and compare and evaluate different books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99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am aware that different narratives and non-narrative texts have different levels of formality of language and I can explain the reasons for this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60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infer meaning using evidence from the text I am studying, wider reading and personal experience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50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choose to read widely for pleasure and for different purposes and do so outside lesson time because I want to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257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compare texts by different authors and talk authoritatively about their different styles and techniques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189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make use of effective scanning and text marking to aid succinct summaries of key ideas so that information is identified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320"/>
        </w:trPr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express my own ideas about a text, supporting my ideas with evidence from the text and explaining why the evidence justifies my opinion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833258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833258" w:rsidRPr="00A04162" w:rsidTr="00833258">
        <w:trPr>
          <w:gridAfter w:val="1"/>
          <w:wAfter w:w="10" w:type="pct"/>
          <w:trHeight w:val="320"/>
        </w:trPr>
        <w:tc>
          <w:tcPr>
            <w:tcW w:w="215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can explain why a writer has chosen to use specific organisation and structure within their text and say why it supports its purpose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833258" w:rsidRPr="00A04162" w:rsidTr="00833258">
        <w:trPr>
          <w:gridAfter w:val="1"/>
          <w:wAfter w:w="10" w:type="pct"/>
          <w:trHeight w:val="320"/>
        </w:trPr>
        <w:tc>
          <w:tcPr>
            <w:tcW w:w="2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58" w:rsidRPr="00A04162" w:rsidRDefault="00833258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833258" w:rsidRPr="00833258" w:rsidRDefault="00833258" w:rsidP="008332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258">
              <w:rPr>
                <w:rFonts w:ascii="Arial" w:hAnsi="Arial" w:cs="Arial"/>
                <w:color w:val="000000"/>
                <w:sz w:val="16"/>
                <w:szCs w:val="16"/>
              </w:rPr>
              <w:t>I adapt my own opinion in the light of further reading or others’ ideas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833258" w:rsidRDefault="00833258" w:rsidP="0083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</w:tbl>
    <w:p w:rsidR="00A04162" w:rsidRDefault="00A04162" w:rsidP="0015679B">
      <w:bookmarkStart w:id="2" w:name="_GoBack"/>
      <w:bookmarkEnd w:id="2"/>
    </w:p>
    <w:sectPr w:rsidR="00A04162" w:rsidSect="00390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7"/>
    <w:rsid w:val="0015679B"/>
    <w:rsid w:val="001B7A36"/>
    <w:rsid w:val="002672A3"/>
    <w:rsid w:val="00320BF0"/>
    <w:rsid w:val="00390036"/>
    <w:rsid w:val="003B472C"/>
    <w:rsid w:val="005315C5"/>
    <w:rsid w:val="005F5959"/>
    <w:rsid w:val="00833258"/>
    <w:rsid w:val="00840A00"/>
    <w:rsid w:val="00845705"/>
    <w:rsid w:val="0087526F"/>
    <w:rsid w:val="008C3066"/>
    <w:rsid w:val="00A04162"/>
    <w:rsid w:val="00A621F6"/>
    <w:rsid w:val="00AA1050"/>
    <w:rsid w:val="00AB6E42"/>
    <w:rsid w:val="00B1466C"/>
    <w:rsid w:val="00BC7567"/>
    <w:rsid w:val="00C14A17"/>
    <w:rsid w:val="00C86DFD"/>
    <w:rsid w:val="00DA47A7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2017-02-17T07:46:00Z</cp:lastPrinted>
  <dcterms:created xsi:type="dcterms:W3CDTF">2017-02-17T08:23:00Z</dcterms:created>
  <dcterms:modified xsi:type="dcterms:W3CDTF">2017-02-17T09:35:00Z</dcterms:modified>
</cp:coreProperties>
</file>